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entury Gothic" w:cs="Century Gothic" w:eastAsia="Century Gothic" w:hAnsi="Century Gothic"/>
          <w:b/>
          <w:bCs/>
          <w:color w:val="F27100"/>
          <w:spacing w:val="40"/>
          <w:sz w:val="18"/>
          <w:szCs w:val="18"/>
        </w:rPr>
        <w:t xml:space="preserve">OPTIONAL MODULE B HANDOUT</w:t>
      </w:r>
    </w:p>
    <w:p>
      <w:pPr>
        <w:pStyle w:val="Title"/>
        <w:pBdr>
          <w:bottom w:val="single" w:color="F27100" w:sz="12" w:space="6"/>
        </w:pBdr>
        <w:spacing w:after="120"/>
      </w:pPr>
      <w:r>
        <w:rPr>
          <w:rFonts w:ascii="Century Gothic" w:cs="Century Gothic" w:eastAsia="Century Gothic" w:hAnsi="Century Gothic"/>
          <w:b/>
          <w:bCs/>
          <w:color w:val="B51800"/>
          <w:sz w:val="36"/>
          <w:szCs w:val="36"/>
        </w:rPr>
        <w:t xml:space="preserve">Checking fidelity to core components</w:t>
      </w:r>
    </w:p>
    <w:p>
      <w:pPr>
        <w:keepNext w:val="false"/>
        <w:spacing w:after="100" w:before="0"/>
      </w:pPr>
      <w:r>
        <w:rPr>
          <w:rFonts w:ascii="Century Gothic" w:cs="Century Gothic" w:eastAsia="Century Gothic" w:hAnsi="Century Gothic"/>
          <w:color w:val="333B45"/>
          <w:sz w:val="20"/>
          <w:szCs w:val="20"/>
        </w:rPr>
        <w:t xml:space="preserve">Use this sheet with the Design Crosswalk Worksheet for each design element you sorted as matches or drifted in Module A.</w:t>
      </w:r>
    </w:p>
    <w:p>
      <w:pPr>
        <w:pStyle w:val="Heading1"/>
        <w:keepNext/>
        <w:spacing w:after="100" w:before="280"/>
      </w:pPr>
      <w:r>
        <w:rPr>
          <w:rFonts w:ascii="Century Gothic" w:cs="Century Gothic" w:eastAsia="Century Gothic" w:hAnsi="Century Gothic"/>
          <w:b/>
          <w:bCs/>
          <w:color w:val="1F2A36"/>
          <w:sz w:val="26"/>
          <w:szCs w:val="26"/>
        </w:rPr>
        <w:t xml:space="preserve">Key ideas</w:t>
      </w:r>
    </w:p>
    <w:p>
      <w:pPr>
        <w:pStyle w:val="ListParagraph"/>
        <w:numPr>
          <w:ilvl w:val="0"/>
          <w:numId w:val="2"/>
        </w:numPr>
        <w:spacing w:after="60"/>
      </w:pPr>
      <w:r>
        <w:rPr>
          <w:rFonts w:ascii="Century Gothic" w:cs="Century Gothic" w:eastAsia="Century Gothic" w:hAnsi="Century Gothic"/>
          <w:b/>
          <w:bCs/>
          <w:color w:val="333B45"/>
          <w:sz w:val="20"/>
          <w:szCs w:val="20"/>
        </w:rPr>
        <w:t xml:space="preserve">Core components</w:t>
      </w:r>
      <w:r>
        <w:rPr>
          <w:rFonts w:ascii="Century Gothic" w:cs="Century Gothic" w:eastAsia="Century Gothic" w:hAnsi="Century Gothic"/>
          <w:color w:val="333B45"/>
          <w:sz w:val="20"/>
          <w:szCs w:val="20"/>
        </w:rPr>
        <w:t xml:space="preserve"> are the parts the study tested and that carry the effect. Changing them takes you outside the evidence.</w:t>
      </w:r>
    </w:p>
    <w:p>
      <w:pPr>
        <w:pStyle w:val="ListParagraph"/>
        <w:numPr>
          <w:ilvl w:val="0"/>
          <w:numId w:val="2"/>
        </w:numPr>
        <w:spacing w:after="60"/>
      </w:pPr>
      <w:r>
        <w:rPr>
          <w:rFonts w:ascii="Century Gothic" w:cs="Century Gothic" w:eastAsia="Century Gothic" w:hAnsi="Century Gothic"/>
          <w:b/>
          <w:bCs/>
          <w:color w:val="333B45"/>
          <w:sz w:val="20"/>
          <w:szCs w:val="20"/>
        </w:rPr>
        <w:t xml:space="preserve">Adaptable features</w:t>
      </w:r>
      <w:r>
        <w:rPr>
          <w:rFonts w:ascii="Century Gothic" w:cs="Century Gothic" w:eastAsia="Century Gothic" w:hAnsi="Century Gothic"/>
          <w:color w:val="333B45"/>
          <w:sz w:val="20"/>
          <w:szCs w:val="20"/>
        </w:rPr>
        <w:t xml:space="preserve"> can change to fit your students, schedule, and building.</w:t>
      </w:r>
    </w:p>
    <w:p>
      <w:pPr>
        <w:pStyle w:val="ListParagraph"/>
        <w:numPr>
          <w:ilvl w:val="0"/>
          <w:numId w:val="2"/>
        </w:numPr>
        <w:spacing w:after="60"/>
      </w:pPr>
      <w:r>
        <w:rPr>
          <w:rFonts w:ascii="Century Gothic" w:cs="Century Gothic" w:eastAsia="Century Gothic" w:hAnsi="Century Gothic"/>
          <w:b/>
          <w:bCs/>
          <w:color w:val="333B45"/>
          <w:sz w:val="20"/>
          <w:szCs w:val="20"/>
        </w:rPr>
        <w:t xml:space="preserve">The claim rule:</w:t>
      </w:r>
      <w:r>
        <w:rPr>
          <w:rFonts w:ascii="Century Gothic" w:cs="Century Gothic" w:eastAsia="Century Gothic" w:hAnsi="Century Gothic"/>
          <w:color w:val="333B45"/>
          <w:sz w:val="20"/>
          <w:szCs w:val="20"/>
        </w:rPr>
        <w:t xml:space="preserve"> you claim a model's evidence only when its core components are in place in your school.</w:t>
      </w:r>
    </w:p>
    <w:p>
      <w:pPr>
        <w:pStyle w:val="ListParagraph"/>
        <w:numPr>
          <w:ilvl w:val="0"/>
          <w:numId w:val="2"/>
        </w:numPr>
        <w:spacing w:after="60"/>
      </w:pPr>
      <w:r>
        <w:rPr>
          <w:rFonts w:ascii="Century Gothic" w:cs="Century Gothic" w:eastAsia="Century Gothic" w:hAnsi="Century Gothic"/>
          <w:b/>
          <w:bCs/>
          <w:color w:val="333B45"/>
          <w:sz w:val="20"/>
          <w:szCs w:val="20"/>
        </w:rPr>
        <w:t xml:space="preserve">Where to find the core:</w:t>
      </w:r>
      <w:r>
        <w:rPr>
          <w:rFonts w:ascii="Century Gothic" w:cs="Century Gothic" w:eastAsia="Century Gothic" w:hAnsi="Century Gothic"/>
          <w:color w:val="333B45"/>
          <w:sz w:val="20"/>
          <w:szCs w:val="20"/>
        </w:rPr>
        <w:t xml:space="preserve"> the IPG menu row (Description, Staffing and roles, Training and time, Notes and cautions), the model's manual or practice profile, and the study's description of what the tested group received.</w:t>
      </w:r>
    </w:p>
    <w:p>
      <w:pPr>
        <w:pStyle w:val="ListParagraph"/>
        <w:numPr>
          <w:ilvl w:val="0"/>
          <w:numId w:val="2"/>
        </w:numPr>
        <w:spacing w:after="60"/>
      </w:pPr>
      <w:r>
        <w:rPr>
          <w:rFonts w:ascii="Century Gothic" w:cs="Century Gothic" w:eastAsia="Century Gothic" w:hAnsi="Century Gothic"/>
          <w:b/>
          <w:bCs/>
          <w:color w:val="333B45"/>
          <w:sz w:val="20"/>
          <w:szCs w:val="20"/>
        </w:rPr>
        <w:t xml:space="preserve">Fidelity gaps are barriers.</w:t>
      </w:r>
      <w:r>
        <w:rPr>
          <w:rFonts w:ascii="Century Gothic" w:cs="Century Gothic" w:eastAsia="Century Gothic" w:hAnsi="Century Gothic"/>
          <w:color w:val="333B45"/>
          <w:sz w:val="20"/>
          <w:szCs w:val="20"/>
        </w:rPr>
        <w:t xml:space="preserve"> The gap between the design you intended and the design you run is a barrier IPG funds can close.</w:t>
      </w:r>
    </w:p>
    <w:p>
      <w:pPr>
        <w:pStyle w:val="Heading1"/>
        <w:keepNext/>
        <w:spacing w:after="100" w:before="280"/>
      </w:pPr>
      <w:r>
        <w:rPr>
          <w:rFonts w:ascii="Century Gothic" w:cs="Century Gothic" w:eastAsia="Century Gothic" w:hAnsi="Century Gothic"/>
          <w:b/>
          <w:bCs/>
          <w:color w:val="1F2A36"/>
          <w:sz w:val="26"/>
          <w:szCs w:val="26"/>
        </w:rPr>
        <w:t xml:space="preserve">Fidelity check</w:t>
      </w:r>
    </w:p>
    <w:p>
      <w:pPr>
        <w:keepNext w:val="false"/>
        <w:spacing w:after="100" w:before="0"/>
      </w:pPr>
      <w:r>
        <w:rPr>
          <w:rFonts w:ascii="Century Gothic" w:cs="Century Gothic" w:eastAsia="Century Gothic" w:hAnsi="Century Gothic"/>
          <w:color w:val="333B45"/>
          <w:sz w:val="20"/>
          <w:szCs w:val="20"/>
        </w:rPr>
        <w:t xml:space="preserve">One row per core feature. Rate each as in place, partly, or missing.</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32"/>
        <w:gridCol w:w="1978"/>
        <w:gridCol w:w="1319"/>
        <w:gridCol w:w="3791"/>
        <w:gridCol w:w="1319"/>
        <w:gridCol w:w="2141"/>
      </w:tblGrid>
      <w:tr>
        <w:trPr>
          <w:cantSplit/>
          <w:tblHeader/>
        </w:trPr>
        <w:tc>
          <w:tcPr>
            <w:tcW w:type="dxa" w:w="3132"/>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Component (menu ID)</w:t>
            </w:r>
          </w:p>
        </w:tc>
        <w:tc>
          <w:tcPr>
            <w:tcW w:type="dxa" w:w="1978"/>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Core feature</w:t>
            </w:r>
          </w:p>
        </w:tc>
        <w:tc>
          <w:tcPr>
            <w:tcW w:type="dxa" w:w="1319"/>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Rating</w:t>
            </w:r>
          </w:p>
        </w:tc>
        <w:tc>
          <w:tcPr>
            <w:tcW w:type="dxa" w:w="3791"/>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Evidence it is in place</w:t>
            </w:r>
          </w:p>
        </w:tc>
        <w:tc>
          <w:tcPr>
            <w:tcW w:type="dxa" w:w="1319"/>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Gap</w:t>
            </w:r>
          </w:p>
        </w:tc>
        <w:tc>
          <w:tcPr>
            <w:tcW w:type="dxa" w:w="2141"/>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IPG cost line</w:t>
            </w:r>
          </w:p>
        </w:tc>
      </w:tr>
      <w:tr>
        <w:trPr>
          <w:cantSplit/>
          <w:tblHeader w:val="off"/>
          <w:trHeight w:val="620" w:hRule="atLeast"/>
        </w:trPr>
        <w:tc>
          <w:tcPr>
            <w:tcW w:type="dxa" w:w="3132"/>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978"/>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319"/>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3791"/>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319"/>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2141"/>
            <w:tcBorders>
              <w:top w:val="single" w:color="D9CFC2" w:sz="4"/>
              <w:left w:val="single" w:color="D9CFC2" w:sz="4"/>
              <w:bottom w:val="single" w:color="D9CFC2" w:sz="4"/>
              <w:right w:val="single" w:color="D9CFC2" w:sz="4"/>
            </w:tcBorders>
            <w:tcMar>
              <w:top w:type="dxa" w:w="70"/>
              <w:left w:type="dxa" w:w="100"/>
              <w:bottom w:type="dxa" w:w="70"/>
              <w:right w:type="dxa" w:w="100"/>
            </w:tcMar>
          </w:tcPr>
          <w:p/>
        </w:tc>
      </w:tr>
      <w:tr>
        <w:trPr>
          <w:cantSplit/>
          <w:tblHeader w:val="off"/>
          <w:trHeight w:val="620" w:hRule="atLeast"/>
        </w:trPr>
        <w:tc>
          <w:tcPr>
            <w:tcW w:type="dxa" w:w="3132"/>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978"/>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319"/>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3791"/>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319"/>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2141"/>
            <w:tcBorders>
              <w:top w:val="single" w:color="D9CFC2" w:sz="4"/>
              <w:left w:val="single" w:color="D9CFC2" w:sz="4"/>
              <w:bottom w:val="single" w:color="D9CFC2" w:sz="4"/>
              <w:right w:val="single" w:color="D9CFC2" w:sz="4"/>
            </w:tcBorders>
            <w:tcMar>
              <w:top w:type="dxa" w:w="70"/>
              <w:left w:type="dxa" w:w="100"/>
              <w:bottom w:type="dxa" w:w="70"/>
              <w:right w:type="dxa" w:w="100"/>
            </w:tcMar>
          </w:tcPr>
          <w:p/>
        </w:tc>
      </w:tr>
      <w:tr>
        <w:trPr>
          <w:cantSplit/>
          <w:tblHeader w:val="off"/>
          <w:trHeight w:val="620" w:hRule="atLeast"/>
        </w:trPr>
        <w:tc>
          <w:tcPr>
            <w:tcW w:type="dxa" w:w="3132"/>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978"/>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319"/>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3791"/>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319"/>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2141"/>
            <w:tcBorders>
              <w:top w:val="single" w:color="D9CFC2" w:sz="4"/>
              <w:left w:val="single" w:color="D9CFC2" w:sz="4"/>
              <w:bottom w:val="single" w:color="D9CFC2" w:sz="4"/>
              <w:right w:val="single" w:color="D9CFC2" w:sz="4"/>
            </w:tcBorders>
            <w:tcMar>
              <w:top w:type="dxa" w:w="70"/>
              <w:left w:type="dxa" w:w="100"/>
              <w:bottom w:type="dxa" w:w="70"/>
              <w:right w:type="dxa" w:w="100"/>
            </w:tcMar>
          </w:tcPr>
          <w:p/>
        </w:tc>
      </w:tr>
      <w:tr>
        <w:trPr>
          <w:cantSplit/>
          <w:tblHeader w:val="off"/>
          <w:trHeight w:val="620" w:hRule="atLeast"/>
        </w:trPr>
        <w:tc>
          <w:tcPr>
            <w:tcW w:type="dxa" w:w="3132"/>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978"/>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319"/>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3791"/>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319"/>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2141"/>
            <w:tcBorders>
              <w:top w:val="single" w:color="D9CFC2" w:sz="4"/>
              <w:left w:val="single" w:color="D9CFC2" w:sz="4"/>
              <w:bottom w:val="single" w:color="D9CFC2" w:sz="4"/>
              <w:right w:val="single" w:color="D9CFC2" w:sz="4"/>
            </w:tcBorders>
            <w:tcMar>
              <w:top w:type="dxa" w:w="70"/>
              <w:left w:type="dxa" w:w="100"/>
              <w:bottom w:type="dxa" w:w="70"/>
              <w:right w:type="dxa" w:w="100"/>
            </w:tcMar>
          </w:tcPr>
          <w:p/>
        </w:tc>
      </w:tr>
      <w:tr>
        <w:trPr>
          <w:cantSplit/>
          <w:tblHeader w:val="off"/>
          <w:trHeight w:val="620" w:hRule="atLeast"/>
        </w:trPr>
        <w:tc>
          <w:tcPr>
            <w:tcW w:type="dxa" w:w="3132"/>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978"/>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319"/>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3791"/>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1319"/>
            <w:tcBorders>
              <w:top w:val="single" w:color="D9CFC2" w:sz="4"/>
              <w:left w:val="single" w:color="D9CFC2" w:sz="4"/>
              <w:bottom w:val="single" w:color="D9CFC2" w:sz="4"/>
              <w:right w:val="single" w:color="D9CFC2" w:sz="4"/>
            </w:tcBorders>
            <w:tcMar>
              <w:top w:type="dxa" w:w="70"/>
              <w:left w:type="dxa" w:w="100"/>
              <w:bottom w:type="dxa" w:w="70"/>
              <w:right w:type="dxa" w:w="100"/>
            </w:tcMar>
          </w:tcPr>
          <w:p/>
        </w:tc>
        <w:tc>
          <w:tcPr>
            <w:tcW w:type="dxa" w:w="2141"/>
            <w:tcBorders>
              <w:top w:val="single" w:color="D9CFC2" w:sz="4"/>
              <w:left w:val="single" w:color="D9CFC2" w:sz="4"/>
              <w:bottom w:val="single" w:color="D9CFC2" w:sz="4"/>
              <w:right w:val="single" w:color="D9CFC2" w:sz="4"/>
            </w:tcBorders>
            <w:tcMar>
              <w:top w:type="dxa" w:w="70"/>
              <w:left w:type="dxa" w:w="100"/>
              <w:bottom w:type="dxa" w:w="70"/>
              <w:right w:type="dxa" w:w="100"/>
            </w:tcMar>
          </w:tcPr>
          <w:p/>
        </w:tc>
      </w:tr>
    </w:tbl>
    <w:p>
      <w:pPr>
        <w:spacing w:after="80"/>
      </w:pPr>
    </w:p>
    <w:p>
      <w:pPr>
        <w:keepNext w:val="false"/>
        <w:spacing w:after="100" w:before="0"/>
      </w:pPr>
      <w:r>
        <w:rPr>
          <w:rFonts w:ascii="Century Gothic" w:cs="Century Gothic" w:eastAsia="Century Gothic" w:hAnsi="Century Gothic"/>
          <w:b/>
          <w:bCs/>
          <w:color w:val="333B45"/>
          <w:sz w:val="20"/>
          <w:szCs w:val="20"/>
        </w:rPr>
        <w:t xml:space="preserve">What your rating means:</w:t>
      </w:r>
      <w:r>
        <w:rPr>
          <w:rFonts w:ascii="Century Gothic" w:cs="Century Gothic" w:eastAsia="Century Gothic" w:hAnsi="Century Gothic"/>
          <w:color w:val="333B45"/>
          <w:sz w:val="20"/>
          <w:szCs w:val="20"/>
        </w:rPr>
        <w:t xml:space="preserve"> In place, claim the menu tier, adjusted for your students and setting. Partly, name the gap and close it in your plan. Missing, build the feature or keep the practice as part of your setting.</w:t>
      </w:r>
    </w:p>
    <w:p>
      <w:pPr>
        <w:pStyle w:val="Heading1"/>
        <w:keepNext/>
        <w:spacing w:after="100" w:before="280"/>
      </w:pPr>
      <w:r>
        <w:rPr>
          <w:rFonts w:ascii="Century Gothic" w:cs="Century Gothic" w:eastAsia="Century Gothic" w:hAnsi="Century Gothic"/>
          <w:b/>
          <w:bCs/>
          <w:color w:val="1F2A36"/>
          <w:sz w:val="26"/>
          <w:szCs w:val="26"/>
        </w:rPr>
        <w:t xml:space="preserve">Worked example: advisory checked against Check &amp; Connect (DRP-01)</w:t>
      </w:r>
    </w:p>
    <w:p>
      <w:pPr>
        <w:keepNext w:val="false"/>
        <w:spacing w:after="100" w:before="0"/>
      </w:pPr>
      <w:r>
        <w:rPr>
          <w:rFonts w:ascii="Century Gothic" w:cs="Century Gothic" w:eastAsia="Century Gothic" w:hAnsi="Century Gothic"/>
          <w:color w:val="333B45"/>
          <w:sz w:val="20"/>
          <w:szCs w:val="20"/>
        </w:rPr>
        <w:t xml:space="preserve">A composite alternative high school of about 90 students assigns every student an advisor.</w:t>
      </w:r>
    </w:p>
    <w:tbl>
      <w:tblPr>
        <w:tblW w:type="dxa" w:w="136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66"/>
        <w:gridCol w:w="900"/>
        <w:gridCol w:w="3333"/>
        <w:gridCol w:w="3750"/>
        <w:gridCol w:w="1531"/>
      </w:tblGrid>
      <w:tr>
        <w:trPr>
          <w:cantSplit/>
          <w:tblHeader/>
        </w:trPr>
        <w:tc>
          <w:tcPr>
            <w:tcW w:type="dxa" w:w="4166"/>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Core feature</w:t>
            </w:r>
          </w:p>
        </w:tc>
        <w:tc>
          <w:tcPr>
            <w:tcW w:type="dxa" w:w="900"/>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Rating</w:t>
            </w:r>
          </w:p>
        </w:tc>
        <w:tc>
          <w:tcPr>
            <w:tcW w:type="dxa" w:w="3333"/>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Evidence it is in place</w:t>
            </w:r>
          </w:p>
        </w:tc>
        <w:tc>
          <w:tcPr>
            <w:tcW w:type="dxa" w:w="3750"/>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Gap</w:t>
            </w:r>
          </w:p>
        </w:tc>
        <w:tc>
          <w:tcPr>
            <w:tcW w:type="dxa" w:w="1531"/>
            <w:tcBorders>
              <w:top w:val="single" w:color="D9CFC2" w:sz="4"/>
              <w:left w:val="single" w:color="D9CFC2" w:sz="4"/>
              <w:bottom w:val="single" w:color="D9CFC2" w:sz="4"/>
              <w:right w:val="single" w:color="D9CFC2" w:sz="4"/>
            </w:tcBorders>
            <w:shd w:fill="B51800" w:color="auto" w:val="clear"/>
            <w:tcMar>
              <w:top w:type="dxa" w:w="70"/>
              <w:left w:type="dxa" w:w="100"/>
              <w:bottom w:type="dxa" w:w="70"/>
              <w:right w:type="dxa" w:w="100"/>
            </w:tcMar>
          </w:tcPr>
          <w:p>
            <w:r>
              <w:rPr>
                <w:rFonts w:ascii="Century Gothic" w:cs="Century Gothic" w:eastAsia="Century Gothic" w:hAnsi="Century Gothic"/>
                <w:b/>
                <w:bCs/>
                <w:color w:val="FFFFFF"/>
                <w:sz w:val="17"/>
                <w:szCs w:val="17"/>
              </w:rPr>
              <w:t xml:space="preserve">IPG cost line</w:t>
            </w:r>
          </w:p>
        </w:tc>
      </w:tr>
      <w:tr>
        <w:trPr>
          <w:cantSplit/>
          <w:tblHeader w:val="off"/>
        </w:trPr>
        <w:tc>
          <w:tcPr>
            <w:tcW w:type="dxa" w:w="4166"/>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Mentor stays with the student at least two years</w:t>
            </w:r>
          </w:p>
        </w:tc>
        <w:tc>
          <w:tcPr>
            <w:tcW w:type="dxa" w:w="900"/>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Partly</w:t>
            </w:r>
          </w:p>
        </w:tc>
        <w:tc>
          <w:tcPr>
            <w:tcW w:type="dxa" w:w="3333"/>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Advisors keep students for one school year</w:t>
            </w:r>
          </w:p>
        </w:tc>
        <w:tc>
          <w:tcPr>
            <w:tcW w:type="dxa" w:w="3750"/>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Keep caseloads across years and school moves</w:t>
            </w:r>
          </w:p>
        </w:tc>
        <w:tc>
          <w:tcPr>
            <w:tcW w:type="dxa" w:w="1531"/>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None beyond scheduling</w:t>
            </w:r>
          </w:p>
        </w:tc>
      </w:tr>
      <w:tr>
        <w:trPr>
          <w:cantSplit/>
          <w:tblHeader w:val="off"/>
        </w:trPr>
        <w:tc>
          <w:tcPr>
            <w:tcW w:type="dxa" w:w="4166"/>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Scheduled checks of attendance, behavior, and course performance</w:t>
            </w:r>
          </w:p>
        </w:tc>
        <w:tc>
          <w:tcPr>
            <w:tcW w:type="dxa" w:w="900"/>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Missing</w:t>
            </w:r>
          </w:p>
        </w:tc>
        <w:tc>
          <w:tcPr>
            <w:tcW w:type="dxa" w:w="3333"/>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Check-ins happen when a teacher raises a concern</w:t>
            </w:r>
          </w:p>
        </w:tc>
        <w:tc>
          <w:tcPr>
            <w:tcW w:type="dxa" w:w="3750"/>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Monthly or more frequent data checks for every student</w:t>
            </w:r>
          </w:p>
        </w:tc>
        <w:tc>
          <w:tcPr>
            <w:tcW w:type="dxa" w:w="1531"/>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Data system time</w:t>
            </w:r>
          </w:p>
        </w:tc>
      </w:tr>
      <w:tr>
        <w:trPr>
          <w:cantSplit/>
          <w:tblHeader w:val="off"/>
        </w:trPr>
        <w:tc>
          <w:tcPr>
            <w:tcW w:type="dxa" w:w="4166"/>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Support escalates as alerts rise</w:t>
            </w:r>
          </w:p>
        </w:tc>
        <w:tc>
          <w:tcPr>
            <w:tcW w:type="dxa" w:w="900"/>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Partly</w:t>
            </w:r>
          </w:p>
        </w:tc>
        <w:tc>
          <w:tcPr>
            <w:tcW w:type="dxa" w:w="3333"/>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Advisors refer some students to the counselor</w:t>
            </w:r>
          </w:p>
        </w:tc>
        <w:tc>
          <w:tcPr>
            <w:tcW w:type="dxa" w:w="3750"/>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Written escalation rules tied to the alerts</w:t>
            </w:r>
          </w:p>
        </w:tc>
        <w:tc>
          <w:tcPr>
            <w:tcW w:type="dxa" w:w="1531"/>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Training</w:t>
            </w:r>
          </w:p>
        </w:tc>
      </w:tr>
      <w:tr>
        <w:trPr>
          <w:cantSplit/>
          <w:tblHeader w:val="off"/>
        </w:trPr>
        <w:tc>
          <w:tcPr>
            <w:tcW w:type="dxa" w:w="4166"/>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Family contact when indicators slip</w:t>
            </w:r>
          </w:p>
        </w:tc>
        <w:tc>
          <w:tcPr>
            <w:tcW w:type="dxa" w:w="900"/>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Partly</w:t>
            </w:r>
          </w:p>
        </w:tc>
        <w:tc>
          <w:tcPr>
            <w:tcW w:type="dxa" w:w="3333"/>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Families contacted at conferences</w:t>
            </w:r>
          </w:p>
        </w:tc>
        <w:tc>
          <w:tcPr>
            <w:tcW w:type="dxa" w:w="3750"/>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Contact triggered by alerts</w:t>
            </w:r>
          </w:p>
        </w:tc>
        <w:tc>
          <w:tcPr>
            <w:tcW w:type="dxa" w:w="1531"/>
            <w:tcBorders>
              <w:top w:val="single" w:color="D9CFC2" w:sz="4"/>
              <w:left w:val="single" w:color="D9CFC2" w:sz="4"/>
              <w:bottom w:val="single" w:color="D9CFC2" w:sz="4"/>
              <w:right w:val="single" w:color="D9CFC2" w:sz="4"/>
            </w:tcBorders>
            <w:tcMar>
              <w:top w:type="dxa" w:w="70"/>
              <w:left w:type="dxa" w:w="100"/>
              <w:bottom w:type="dxa" w:w="70"/>
              <w:right w:type="dxa" w:w="100"/>
            </w:tcMar>
          </w:tcPr>
          <w:p>
            <w:r>
              <w:rPr>
                <w:rFonts w:ascii="Century Gothic" w:cs="Century Gothic" w:eastAsia="Century Gothic" w:hAnsi="Century Gothic"/>
                <w:color w:val="333B45"/>
                <w:sz w:val="17"/>
                <w:szCs w:val="17"/>
              </w:rPr>
              <w:t xml:space="preserve">Mentor time (expanded role)</w:t>
            </w:r>
          </w:p>
        </w:tc>
      </w:tr>
    </w:tbl>
    <w:p>
      <w:pPr>
        <w:spacing w:after="80"/>
      </w:pPr>
    </w:p>
    <w:p>
      <w:pPr>
        <w:keepNext w:val="false"/>
        <w:spacing w:after="100" w:before="0"/>
      </w:pPr>
      <w:r>
        <w:rPr>
          <w:rFonts w:ascii="Century Gothic" w:cs="Century Gothic" w:eastAsia="Century Gothic" w:hAnsi="Century Gothic"/>
          <w:b/>
          <w:bCs/>
          <w:color w:val="333B45"/>
          <w:sz w:val="20"/>
          <w:szCs w:val="20"/>
        </w:rPr>
        <w:t xml:space="preserve">Result:</w:t>
      </w:r>
      <w:r>
        <w:rPr>
          <w:rFonts w:ascii="Century Gothic" w:cs="Century Gothic" w:eastAsia="Century Gothic" w:hAnsi="Century Gothic"/>
          <w:color w:val="333B45"/>
          <w:sz w:val="20"/>
          <w:szCs w:val="20"/>
        </w:rPr>
        <w:t xml:space="preserve"> The advisory is drifted. After the plan closes these gaps, the school can name Check &amp; Connect as an EBI for staying in school at Tier 3 (WWC Evidence Snapshot 78), and the barriers section describes the gap and what the funds change.</w:t>
      </w:r>
    </w:p>
    <w:p>
      <w:pPr>
        <w:pStyle w:val="Heading1"/>
        <w:keepNext/>
        <w:spacing w:after="100" w:before="280"/>
      </w:pPr>
      <w:r>
        <w:rPr>
          <w:rFonts w:ascii="Century Gothic" w:cs="Century Gothic" w:eastAsia="Century Gothic" w:hAnsi="Century Gothic"/>
          <w:b/>
          <w:bCs/>
          <w:color w:val="1F2A36"/>
          <w:sz w:val="26"/>
          <w:szCs w:val="26"/>
        </w:rPr>
        <w:t xml:space="preserve">Where this fits in the toolkit</w:t>
      </w:r>
    </w:p>
    <w:p>
      <w:pPr>
        <w:pStyle w:val="ListParagraph"/>
        <w:numPr>
          <w:ilvl w:val="0"/>
          <w:numId w:val="2"/>
        </w:numPr>
        <w:spacing w:after="60"/>
      </w:pPr>
      <w:r>
        <w:rPr>
          <w:rFonts w:ascii="Century Gothic" w:cs="Century Gothic" w:eastAsia="Century Gothic" w:hAnsi="Century Gothic"/>
          <w:b/>
          <w:bCs/>
          <w:color w:val="333B45"/>
          <w:sz w:val="20"/>
          <w:szCs w:val="20"/>
        </w:rPr>
        <w:t xml:space="preserve">Before:</w:t>
      </w:r>
      <w:r>
        <w:rPr>
          <w:rFonts w:ascii="Century Gothic" w:cs="Century Gothic" w:eastAsia="Century Gothic" w:hAnsi="Century Gothic"/>
          <w:color w:val="333B45"/>
          <w:sz w:val="20"/>
          <w:szCs w:val="20"/>
        </w:rPr>
        <w:t xml:space="preserve"> Module A and the Design Crosswalk Worksheet (sort columns).</w:t>
      </w:r>
    </w:p>
    <w:p>
      <w:pPr>
        <w:pStyle w:val="ListParagraph"/>
        <w:numPr>
          <w:ilvl w:val="0"/>
          <w:numId w:val="2"/>
        </w:numPr>
        <w:spacing w:after="60"/>
      </w:pPr>
      <w:r>
        <w:rPr>
          <w:rFonts w:ascii="Century Gothic" w:cs="Century Gothic" w:eastAsia="Century Gothic" w:hAnsi="Century Gothic"/>
          <w:b/>
          <w:bCs/>
          <w:color w:val="333B45"/>
          <w:sz w:val="20"/>
          <w:szCs w:val="20"/>
        </w:rPr>
        <w:t xml:space="preserve">Now:</w:t>
      </w:r>
      <w:r>
        <w:rPr>
          <w:rFonts w:ascii="Century Gothic" w:cs="Century Gothic" w:eastAsia="Century Gothic" w:hAnsi="Century Gothic"/>
          <w:color w:val="333B45"/>
          <w:sz w:val="20"/>
          <w:szCs w:val="20"/>
        </w:rPr>
        <w:t xml:space="preserve"> the Crosswalk columns Core components of that row, What you run now, Tier you can claim, and Gap IPG would close.</w:t>
      </w:r>
    </w:p>
    <w:p>
      <w:pPr>
        <w:pStyle w:val="ListParagraph"/>
        <w:numPr>
          <w:ilvl w:val="0"/>
          <w:numId w:val="2"/>
        </w:numPr>
        <w:spacing w:after="60"/>
      </w:pPr>
      <w:r>
        <w:rPr>
          <w:rFonts w:ascii="Century Gothic" w:cs="Century Gothic" w:eastAsia="Century Gothic" w:hAnsi="Century Gothic"/>
          <w:b/>
          <w:bCs/>
          <w:color w:val="333B45"/>
          <w:sz w:val="20"/>
          <w:szCs w:val="20"/>
        </w:rPr>
        <w:t xml:space="preserve">Next:</w:t>
      </w:r>
      <w:r>
        <w:rPr>
          <w:rFonts w:ascii="Century Gothic" w:cs="Century Gothic" w:eastAsia="Century Gothic" w:hAnsi="Century Gothic"/>
          <w:color w:val="333B45"/>
          <w:sz w:val="20"/>
          <w:szCs w:val="20"/>
        </w:rPr>
        <w:t xml:space="preserve"> Module 6 and T6 Step 3, where you write each component as the EBI and describe your school model as the setting.</w:t>
      </w:r>
    </w:p>
    <w:p>
      <w:pPr>
        <w:keepNext w:val="false"/>
        <w:spacing w:after="100" w:before="200"/>
      </w:pPr>
      <w:r>
        <w:rPr>
          <w:rFonts w:ascii="Century Gothic" w:cs="Century Gothic" w:eastAsia="Century Gothic" w:hAnsi="Century Gothic"/>
          <w:color w:val="6B7480"/>
          <w:sz w:val="16"/>
          <w:szCs w:val="16"/>
        </w:rPr>
        <w:t xml:space="preserve">Sources: SYS IPG EBI Menu FINAL (October 2026), rows BAR-14, DRP-01, ATT-01; IPG_EBI_R7_AltDesign workbook, Included and Screened out tabs.</w:t>
      </w:r>
    </w:p>
    <w:sectPr>
      <w:headerReference w:type="default" r:id="rId6"/>
      <w:footerReference w:type="default" r:id="rId7"/>
      <w:pgSz w:w="15840" w:h="12240" w:orient="landscape"/>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entury Gothic" w:cs="Century Gothic" w:eastAsia="Century Gothic" w:hAnsi="Century Gothic"/>
        <w:color w:val="6B7480"/>
        <w:sz w:val="14"/>
        <w:szCs w:val="14"/>
      </w:rPr>
      <w:t xml:space="preserve">Systems for Innovative Schools  ·  systemsforinnovativeschools.com  ·  Free to use and adapt for your school’s planning  ·  Page </w:t>
    </w:r>
    <w:r>
      <w:rPr>
        <w:rFonts w:ascii="Century Gothic" w:cs="Century Gothic" w:eastAsia="Century Gothic" w:hAnsi="Century Gothic"/>
        <w:color w:val="6B7480"/>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51800" w:sz="6" w:space="4"/>
      </w:pBdr>
    </w:pPr>
    <w:r>
      <w:rPr>
        <w:rFonts w:ascii="Century Gothic" w:cs="Century Gothic" w:eastAsia="Century Gothic" w:hAnsi="Century Gothic"/>
        <w:b/>
        <w:bCs/>
        <w:color w:val="B51800"/>
        <w:sz w:val="16"/>
        <w:szCs w:val="16"/>
      </w:rPr>
      <w:t xml:space="preserve">Choosing an Evidence-Based Intervention That Fits</w:t>
    </w:r>
    <w:r>
      <w:rPr>
        <w:rFonts w:ascii="Century Gothic" w:cs="Century Gothic" w:eastAsia="Century Gothic" w:hAnsi="Century Gothic"/>
        <w:color w:val="6B7480"/>
        <w:sz w:val="16"/>
        <w:szCs w:val="16"/>
      </w:rPr>
      <w:t xml:space="preserve">   |   IPG Planning Toolkit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rPr>
        <w:color w:val="F2710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Gothic" w:cs="Century Gothic" w:eastAsia="Century Gothic" w:hAnsi="Century Gothic"/>
        <w:color w:val="333B45"/>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B handout: Checking fidelity to core components</dc:title>
  <dc:creator>Systems for Innovative Schools</dc:creator>
  <cp:lastModifiedBy>Un-named</cp:lastModifiedBy>
  <cp:revision>1</cp:revision>
  <dcterms:created xsi:type="dcterms:W3CDTF">2026-10-26T16:43:48.974Z</dcterms:created>
  <dcterms:modified xsi:type="dcterms:W3CDTF">2026-10-26T16:43:48.974Z</dcterms:modified>
</cp:coreProperties>
</file>

<file path=docProps/custom.xml><?xml version="1.0" encoding="utf-8"?>
<Properties xmlns="http://schemas.openxmlformats.org/officeDocument/2006/custom-properties" xmlns:vt="http://schemas.openxmlformats.org/officeDocument/2006/docPropsVTypes"/>
</file>