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entury Gothic" w:cs="Century Gothic" w:eastAsia="Century Gothic" w:hAnsi="Century Gothic"/>
          <w:b/>
          <w:bCs/>
          <w:color w:val="F27100"/>
          <w:spacing w:val="40"/>
          <w:sz w:val="18"/>
          <w:szCs w:val="18"/>
        </w:rPr>
        <w:t xml:space="preserve">OPTIONAL MODULE A HANDOUT</w:t>
      </w:r>
    </w:p>
    <w:p>
      <w:pPr>
        <w:pStyle w:val="Title"/>
        <w:pBdr>
          <w:bottom w:val="single" w:color="F27100" w:sz="12" w:space="6"/>
        </w:pBdr>
        <w:spacing w:after="120"/>
      </w:pPr>
      <w:r>
        <w:rPr>
          <w:rFonts w:ascii="Century Gothic" w:cs="Century Gothic" w:eastAsia="Century Gothic" w:hAnsi="Century Gothic"/>
          <w:b/>
          <w:bCs/>
          <w:color w:val="B51800"/>
          <w:sz w:val="36"/>
          <w:szCs w:val="36"/>
        </w:rPr>
        <w:t xml:space="preserve">Taking apart an existing school design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Use this handout with Optional Module A. It is for schools whose whole design is already an intervention, such as small alternative high schools.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Key ideas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No alternative, transfer, re-engagement, competency-based, or virtual whole-school design has Tier 1-3 evidence for students already off track. The qualifying evidence is at the component level.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Describe your school model as the setting. Name the components IPG funds will strengthen as your EBIs, each with its own study and tier.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When the evidence for a component comes from comprehensive schools, claim moderate at most in an alternative school.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Features with no qualifying evidence stay in your plan as part of the setting. Do not name them as EBIs.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The three-way sort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92"/>
        <w:gridCol w:w="5304"/>
        <w:gridCol w:w="5584"/>
      </w:tblGrid>
      <w:tr>
        <w:trPr>
          <w:cantSplit/>
          <w:tblHeader/>
        </w:trPr>
        <w:tc>
          <w:tcPr>
            <w:tcW w:type="dxa" w:w="279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Group</w:t>
            </w:r>
          </w:p>
        </w:tc>
        <w:tc>
          <w:tcPr>
            <w:tcW w:type="dxa" w:w="53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What it means</w:t>
            </w:r>
          </w:p>
        </w:tc>
        <w:tc>
          <w:tcPr>
            <w:tcW w:type="dxa" w:w="558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What you do</w:t>
            </w:r>
          </w:p>
        </w:tc>
      </w:tr>
      <w:tr>
        <w:trPr>
          <w:cantSplit/>
          <w:tblHeader w:val="off"/>
        </w:trPr>
        <w:tc>
          <w:tcPr>
            <w:tcW w:type="dxa" w:w="279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1. Matches a tested model</w:t>
            </w:r>
          </w:p>
        </w:tc>
        <w:tc>
          <w:tcPr>
            <w:tcW w:type="dxa" w:w="53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You run the core components of a menu row</w:t>
            </w:r>
          </w:p>
        </w:tc>
        <w:tc>
          <w:tcPr>
            <w:tcW w:type="dxa" w:w="558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Name it as an EBI and claim the menu tier, adjusted for your students and setting</w:t>
            </w:r>
          </w:p>
        </w:tc>
      </w:tr>
      <w:tr>
        <w:trPr>
          <w:cantSplit/>
          <w:tblHeader w:val="off"/>
        </w:trPr>
        <w:tc>
          <w:tcPr>
            <w:tcW w:type="dxa" w:w="279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2. Drifted from a tested model</w:t>
            </w:r>
          </w:p>
        </w:tc>
        <w:tc>
          <w:tcPr>
            <w:tcW w:type="dxa" w:w="53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It looks like a menu row, but core components are missing</w:t>
            </w:r>
          </w:p>
        </w:tc>
        <w:tc>
          <w:tcPr>
            <w:tcW w:type="dxa" w:w="558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Record the gap; Module B covers closing it</w:t>
            </w:r>
          </w:p>
        </w:tc>
      </w:tr>
      <w:tr>
        <w:trPr>
          <w:cantSplit/>
          <w:tblHeader w:val="off"/>
        </w:trPr>
        <w:tc>
          <w:tcPr>
            <w:tcW w:type="dxa" w:w="279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3. No qualifying evidence</w:t>
            </w:r>
          </w:p>
        </w:tc>
        <w:tc>
          <w:tcPr>
            <w:tcW w:type="dxa" w:w="53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Nothing on the menu matches</w:t>
            </w:r>
          </w:p>
        </w:tc>
        <w:tc>
          <w:tcPr>
            <w:tcW w:type="dxa" w:w="558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Describe it as part of your setting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Design Crosswalk Worksheet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Fill the first three columns in Module A. Fill the rest in Module B. The first two rows are worked examples from the composite alternative high school.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83"/>
        <w:gridCol w:w="1578"/>
        <w:gridCol w:w="2428"/>
        <w:gridCol w:w="2428"/>
        <w:gridCol w:w="900"/>
        <w:gridCol w:w="2428"/>
        <w:gridCol w:w="1935"/>
      </w:tblGrid>
      <w:tr>
        <w:trPr>
          <w:cantSplit/>
          <w:tblHeader/>
        </w:trPr>
        <w:tc>
          <w:tcPr>
            <w:tcW w:type="dxa" w:w="198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Design element</w:t>
            </w:r>
          </w:p>
        </w:tc>
        <w:tc>
          <w:tcPr>
            <w:tcW w:type="dxa" w:w="157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Closest menu row</w:t>
            </w:r>
          </w:p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Core components of that row</w:t>
            </w:r>
          </w:p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What you run now</w:t>
            </w:r>
          </w:p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Sort</w:t>
            </w:r>
          </w:p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Tier you can claim</w:t>
            </w:r>
          </w:p>
        </w:tc>
        <w:tc>
          <w:tcPr>
            <w:tcW w:type="dxa" w:w="19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Gap IPG would close</w:t>
            </w:r>
          </w:p>
        </w:tc>
      </w:tr>
      <w:tr>
        <w:trPr>
          <w:cantSplit/>
          <w:tblHeader w:val="off"/>
        </w:trPr>
        <w:tc>
          <w:tcPr>
            <w:tcW w:type="dxa" w:w="198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Each student has an advocate who checks in weekly</w:t>
            </w:r>
          </w:p>
        </w:tc>
        <w:tc>
          <w:tcPr>
            <w:tcW w:type="dxa" w:w="157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DRP-01 Check &amp; Connect</w:t>
            </w:r>
          </w:p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Mentor reviews attendance, behavior, and course performance monthly or more often; escalating individual support; family contact; two-year commitment</w:t>
            </w:r>
          </w:p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Weekly check-ins in place; data reviews and family contact partly in place; no two-year commitment</w:t>
            </w:r>
          </w:p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2: Drifted</w:t>
            </w:r>
          </w:p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None until the gap closes; then Tier 3 (staying in school, progressing in school)</w:t>
            </w:r>
          </w:p>
        </w:tc>
        <w:tc>
          <w:tcPr>
            <w:tcW w:type="dxa" w:w="19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Mentor training, a data review schedule, caseload assignments that follow students for two years</w:t>
            </w:r>
          </w:p>
        </w:tc>
      </w:tr>
      <w:tr>
        <w:trPr>
          <w:cantSplit/>
          <w:tblHeader w:val="off"/>
        </w:trPr>
        <w:tc>
          <w:tcPr>
            <w:tcW w:type="dxa" w:w="198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Online credit recovery with a proctor</w:t>
            </w:r>
          </w:p>
        </w:tc>
        <w:tc>
          <w:tcPr>
            <w:tcW w:type="dxa" w:w="157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BAR-14 Teacher-directed credit recovery</w:t>
            </w:r>
          </w:p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Short recovery course taught by a certified teacher in place of online-only recovery</w:t>
            </w:r>
          </w:p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Online course; proctor, not a teacher of record</w:t>
            </w:r>
          </w:p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2: Drifted</w:t>
            </w:r>
          </w:p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None until the gap closes; then moderate at most (studied in regular high schools)</w:t>
            </w:r>
          </w:p>
        </w:tc>
        <w:tc>
          <w:tcPr>
            <w:tcW w:type="dxa" w:w="19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6"/>
                <w:szCs w:val="16"/>
              </w:rPr>
              <w:t xml:space="preserve">Certified teacher time for recovery sections, planning time aligned to course standards</w:t>
            </w:r>
          </w:p>
        </w:tc>
      </w:tr>
      <w:tr>
        <w:trPr>
          <w:cantSplit/>
          <w:tblHeader w:val="off"/>
          <w:trHeight w:val="620" w:hRule="atLeast"/>
        </w:trPr>
        <w:tc>
          <w:tcPr>
            <w:tcW w:type="dxa" w:w="198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57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9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198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57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9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198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57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9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198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57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2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93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Where this fits in the toolkit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T2 Domain Decision Guide, Alternative and Virtual Schools: the two ways to present your model.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T6 Evidence-based Interventions Worksheet, Step 1: look up each design element on the menu.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Optional Module B: core components, fidelity, and the gaps IPG would close.</w:t>
      </w:r>
    </w:p>
    <w:p>
      <w:pPr>
        <w:keepNext w:val="false"/>
        <w:spacing w:after="100" w:before="200"/>
      </w:pPr>
      <w:r>
        <w:rPr>
          <w:rFonts w:ascii="Century Gothic" w:cs="Century Gothic" w:eastAsia="Century Gothic" w:hAnsi="Century Gothic"/>
          <w:color w:val="6B7480"/>
          <w:sz w:val="16"/>
          <w:szCs w:val="16"/>
        </w:rPr>
        <w:t xml:space="preserve">Sources: SYS IPG EBI Menu FINAL (October 2026), Read me and rows DRP-01 and BAR-14; IPG_EBI_R7_AltDesign (October 2026). The worked rows describe a composite school, not a real one.</w:t>
      </w:r>
    </w:p>
    <w:sectPr>
      <w:headerReference w:type="default" r:id="rId6"/>
      <w:footerReference w:type="default" r:id="rId7"/>
      <w:pgSz w:w="15840" w:h="12240" w:orient="landscape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entury Gothic" w:cs="Century Gothic" w:eastAsia="Century Gothic" w:hAnsi="Century Gothic"/>
        <w:color w:val="6B7480"/>
        <w:sz w:val="14"/>
        <w:szCs w:val="14"/>
      </w:rPr>
      <w:t xml:space="preserve">Systems for Innovative Schools  ·  systemsforinnovativeschools.com  ·  Free to use and adapt for your school’s planning  ·  Page </w:t>
    </w:r>
    <w:r>
      <w:rPr>
        <w:rFonts w:ascii="Century Gothic" w:cs="Century Gothic" w:eastAsia="Century Gothic" w:hAnsi="Century Gothic"/>
        <w:color w:val="6B74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1800" w:sz="6" w:space="4"/>
      </w:pBdr>
    </w:pPr>
    <w:r>
      <w:rPr>
        <w:rFonts w:ascii="Century Gothic" w:cs="Century Gothic" w:eastAsia="Century Gothic" w:hAnsi="Century Gothic"/>
        <w:b/>
        <w:bCs/>
        <w:color w:val="B51800"/>
        <w:sz w:val="16"/>
        <w:szCs w:val="16"/>
      </w:rPr>
      <w:t xml:space="preserve">Choosing an Evidence-Based Intervention That Fits</w:t>
    </w:r>
    <w:r>
      <w:rPr>
        <w:rFonts w:ascii="Century Gothic" w:cs="Century Gothic" w:eastAsia="Century Gothic" w:hAnsi="Century Gothic"/>
        <w:color w:val="6B7480"/>
        <w:sz w:val="16"/>
        <w:szCs w:val="16"/>
      </w:rPr>
      <w:t xml:space="preserve">   |   IPG Planning Toolkit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  <w:rPr>
        <w:color w:val="F271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333B45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Module A handout: Taking apart an existing school design</dc:title>
  <dc:creator>Systems for Innovative Schools</dc:creator>
  <cp:lastModifiedBy>Un-named</cp:lastModifiedBy>
  <cp:revision>1</cp:revision>
  <dcterms:created xsi:type="dcterms:W3CDTF">2026-10-26T16:43:48.955Z</dcterms:created>
  <dcterms:modified xsi:type="dcterms:W3CDTF">2026-10-26T16:43:48.955Z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