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entury Gothic" w:cs="Century Gothic" w:eastAsia="Century Gothic" w:hAnsi="Century Gothic"/>
          <w:b/>
          <w:bCs/>
          <w:color w:val="F27100"/>
          <w:spacing w:val="40"/>
          <w:sz w:val="18"/>
          <w:szCs w:val="18"/>
        </w:rPr>
        <w:t xml:space="preserve">MODULE 6 HANDOUT</w:t>
      </w:r>
    </w:p>
    <w:p>
      <w:pPr>
        <w:pStyle w:val="Title"/>
        <w:pBdr>
          <w:bottom w:val="single" w:color="F27100" w:sz="12" w:space="6"/>
        </w:pBdr>
        <w:spacing w:after="120"/>
      </w:pPr>
      <w:r>
        <w:rPr>
          <w:rFonts w:ascii="Century Gothic" w:cs="Century Gothic" w:eastAsia="Century Gothic" w:hAnsi="Century Gothic"/>
          <w:b/>
          <w:bCs/>
          <w:color w:val="B51800"/>
          <w:sz w:val="36"/>
          <w:szCs w:val="36"/>
        </w:rPr>
        <w:t xml:space="preserve">Writing the EBI choice into your plan</w:t>
      </w:r>
    </w:p>
    <w:p>
      <w:pPr>
        <w:keepNext w:val="false"/>
        <w:spacing w:after="100" w:before="0"/>
      </w:pP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For each domain you select, the template asks for four fields. Write them as one chain: need, intervention, evidence, target.</w:t>
      </w:r>
    </w:p>
    <w:p>
      <w:pPr>
        <w:pStyle w:val="Heading1"/>
        <w:keepNext/>
        <w:spacing w:after="100" w:before="280"/>
      </w:pPr>
      <w:r>
        <w:rPr>
          <w:rFonts w:ascii="Century Gothic" w:cs="Century Gothic" w:eastAsia="Century Gothic" w:hAnsi="Century Gothic"/>
          <w:b/>
          <w:bCs/>
          <w:color w:val="1F2A36"/>
          <w:sz w:val="26"/>
          <w:szCs w:val="26"/>
        </w:rPr>
        <w:t xml:space="preserve">The four fields and what each needs</w:t>
      </w:r>
    </w:p>
    <w:p>
      <w:pPr>
        <w:keepNext/>
        <w:spacing w:after="100" w:before="0"/>
      </w:pPr>
      <w:r>
        <w:rPr>
          <w:rFonts w:ascii="Century Gothic" w:cs="Century Gothic" w:eastAsia="Century Gothic" w:hAnsi="Century Gothic"/>
          <w:b/>
          <w:bCs/>
          <w:color w:val="333B45"/>
          <w:sz w:val="20"/>
          <w:szCs w:val="20"/>
        </w:rPr>
        <w:t xml:space="preserve">1. EBI</w:t>
      </w:r>
    </w:p>
    <w:p>
      <w:pPr>
        <w:spacing w:after="40"/>
        <w:ind w:left="360"/>
      </w:pPr>
      <w:r>
        <w:rPr>
          <w:rFonts w:ascii="Segoe UI Symbol" w:cs="Segoe UI Symbol" w:eastAsia="Segoe UI Symbol" w:hAnsi="Segoe UI Symbol"/>
          <w:color w:val="B51800"/>
          <w:sz w:val="22"/>
          <w:szCs w:val="22"/>
        </w:rPr>
        <w:t xml:space="preserve">☐  </w:t>
      </w: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Names the intervention and its menu ID</w:t>
      </w:r>
    </w:p>
    <w:p>
      <w:pPr>
        <w:spacing w:after="40"/>
        <w:ind w:left="360"/>
      </w:pPr>
      <w:r>
        <w:rPr>
          <w:rFonts w:ascii="Segoe UI Symbol" w:cs="Segoe UI Symbol" w:eastAsia="Segoe UI Symbol" w:hAnsi="Segoe UI Symbol"/>
          <w:color w:val="B51800"/>
          <w:sz w:val="22"/>
          <w:szCs w:val="22"/>
        </w:rPr>
        <w:t xml:space="preserve">☐  </w:t>
      </w: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Says who it serves and what changes in practice</w:t>
      </w:r>
    </w:p>
    <w:p>
      <w:pPr>
        <w:spacing w:after="40"/>
        <w:ind w:left="360"/>
      </w:pPr>
      <w:r>
        <w:rPr>
          <w:rFonts w:ascii="Segoe UI Symbol" w:cs="Segoe UI Symbol" w:eastAsia="Segoe UI Symbol" w:hAnsi="Segoe UI Symbol"/>
          <w:color w:val="B51800"/>
          <w:sz w:val="22"/>
          <w:szCs w:val="22"/>
        </w:rPr>
        <w:t xml:space="preserve">☐  </w:t>
      </w: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Names no provider as the EBI</w:t>
      </w:r>
    </w:p>
    <w:p>
      <w:pPr>
        <w:keepNext/>
        <w:spacing w:after="100" w:before="0"/>
      </w:pPr>
      <w:r>
        <w:rPr>
          <w:rFonts w:ascii="Century Gothic" w:cs="Century Gothic" w:eastAsia="Century Gothic" w:hAnsi="Century Gothic"/>
          <w:b/>
          <w:bCs/>
          <w:color w:val="333B45"/>
          <w:sz w:val="20"/>
          <w:szCs w:val="20"/>
        </w:rPr>
        <w:t xml:space="preserve">2. ESSA Level of Evidence</w:t>
      </w:r>
    </w:p>
    <w:p>
      <w:pPr>
        <w:spacing w:after="40"/>
        <w:ind w:left="360"/>
      </w:pPr>
      <w:r>
        <w:rPr>
          <w:rFonts w:ascii="Segoe UI Symbol" w:cs="Segoe UI Symbol" w:eastAsia="Segoe UI Symbol" w:hAnsi="Segoe UI Symbol"/>
          <w:color w:val="B51800"/>
          <w:sz w:val="22"/>
          <w:szCs w:val="22"/>
        </w:rPr>
        <w:t xml:space="preserve">☐  </w:t>
      </w: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States strong, moderate, or promising</w:t>
      </w:r>
    </w:p>
    <w:p>
      <w:pPr>
        <w:spacing w:after="40"/>
        <w:ind w:left="360"/>
      </w:pPr>
      <w:r>
        <w:rPr>
          <w:rFonts w:ascii="Segoe UI Symbol" w:cs="Segoe UI Symbol" w:eastAsia="Segoe UI Symbol" w:hAnsi="Segoe UI Symbol"/>
          <w:color w:val="B51800"/>
          <w:sz w:val="22"/>
          <w:szCs w:val="22"/>
        </w:rPr>
        <w:t xml:space="preserve">☐  </w:t>
      </w: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Names the outcome the tier covers</w:t>
      </w:r>
    </w:p>
    <w:p>
      <w:pPr>
        <w:spacing w:after="40"/>
        <w:ind w:left="360"/>
      </w:pPr>
      <w:r>
        <w:rPr>
          <w:rFonts w:ascii="Segoe UI Symbol" w:cs="Segoe UI Symbol" w:eastAsia="Segoe UI Symbol" w:hAnsi="Segoe UI Symbol"/>
          <w:color w:val="B51800"/>
          <w:sz w:val="22"/>
          <w:szCs w:val="22"/>
        </w:rPr>
        <w:t xml:space="preserve">☐  </w:t>
      </w: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Names the study or WWC review</w:t>
      </w:r>
    </w:p>
    <w:p>
      <w:pPr>
        <w:spacing w:after="40"/>
        <w:ind w:left="360"/>
      </w:pPr>
      <w:r>
        <w:rPr>
          <w:rFonts w:ascii="Segoe UI Symbol" w:cs="Segoe UI Symbol" w:eastAsia="Segoe UI Symbol" w:hAnsi="Segoe UI Symbol"/>
          <w:color w:val="B51800"/>
          <w:sz w:val="22"/>
          <w:szCs w:val="22"/>
        </w:rPr>
        <w:t xml:space="preserve">☐  </w:t>
      </w: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Claims a lower level for grades or settings the study did not include</w:t>
      </w:r>
    </w:p>
    <w:p>
      <w:pPr>
        <w:keepNext/>
        <w:spacing w:after="100" w:before="0"/>
      </w:pPr>
      <w:r>
        <w:rPr>
          <w:rFonts w:ascii="Century Gothic" w:cs="Century Gothic" w:eastAsia="Century Gothic" w:hAnsi="Century Gothic"/>
          <w:b/>
          <w:bCs/>
          <w:color w:val="333B45"/>
          <w:sz w:val="20"/>
          <w:szCs w:val="20"/>
        </w:rPr>
        <w:t xml:space="preserve">3. EBI alignment to needs assessment/root cause</w:t>
      </w:r>
    </w:p>
    <w:p>
      <w:pPr>
        <w:spacing w:after="40"/>
        <w:ind w:left="360"/>
      </w:pPr>
      <w:r>
        <w:rPr>
          <w:rFonts w:ascii="Segoe UI Symbol" w:cs="Segoe UI Symbol" w:eastAsia="Segoe UI Symbol" w:hAnsi="Segoe UI Symbol"/>
          <w:color w:val="B51800"/>
          <w:sz w:val="22"/>
          <w:szCs w:val="22"/>
        </w:rPr>
        <w:t xml:space="preserve">☐  </w:t>
      </w: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Names the root-cause category (RC1 to RC12)</w:t>
      </w:r>
    </w:p>
    <w:p>
      <w:pPr>
        <w:spacing w:after="40"/>
        <w:ind w:left="360"/>
      </w:pPr>
      <w:r>
        <w:rPr>
          <w:rFonts w:ascii="Segoe UI Symbol" w:cs="Segoe UI Symbol" w:eastAsia="Segoe UI Symbol" w:hAnsi="Segoe UI Symbol"/>
          <w:color w:val="B51800"/>
          <w:sz w:val="22"/>
          <w:szCs w:val="22"/>
        </w:rPr>
        <w:t xml:space="preserve">☐  </w:t>
      </w: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Gives the data behind it</w:t>
      </w:r>
    </w:p>
    <w:p>
      <w:pPr>
        <w:keepNext/>
        <w:spacing w:after="100" w:before="0"/>
      </w:pPr>
      <w:r>
        <w:rPr>
          <w:rFonts w:ascii="Century Gothic" w:cs="Century Gothic" w:eastAsia="Century Gothic" w:hAnsi="Century Gothic"/>
          <w:b/>
          <w:bCs/>
          <w:color w:val="333B45"/>
          <w:sz w:val="20"/>
          <w:szCs w:val="20"/>
        </w:rPr>
        <w:t xml:space="preserve">4. EBI connection to/support of MI School Index Target(s)</w:t>
      </w:r>
    </w:p>
    <w:p>
      <w:pPr>
        <w:spacing w:after="40"/>
        <w:ind w:left="360"/>
      </w:pPr>
      <w:r>
        <w:rPr>
          <w:rFonts w:ascii="Segoe UI Symbol" w:cs="Segoe UI Symbol" w:eastAsia="Segoe UI Symbol" w:hAnsi="Segoe UI Symbol"/>
          <w:color w:val="B51800"/>
          <w:sz w:val="22"/>
          <w:szCs w:val="22"/>
        </w:rPr>
        <w:t xml:space="preserve">☐  </w:t>
      </w: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Names the Index component</w:t>
      </w:r>
    </w:p>
    <w:p>
      <w:pPr>
        <w:spacing w:after="40"/>
        <w:ind w:left="360"/>
      </w:pPr>
      <w:r>
        <w:rPr>
          <w:rFonts w:ascii="Segoe UI Symbol" w:cs="Segoe UI Symbol" w:eastAsia="Segoe UI Symbol" w:hAnsi="Segoe UI Symbol"/>
          <w:color w:val="B51800"/>
          <w:sz w:val="22"/>
          <w:szCs w:val="22"/>
        </w:rPr>
        <w:t xml:space="preserve">☐  </w:t>
      </w: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Marks the link direct (studied, significant effect) or indirect</w:t>
      </w:r>
    </w:p>
    <w:p>
      <w:pPr>
        <w:pStyle w:val="Heading1"/>
        <w:keepNext/>
        <w:spacing w:after="100" w:before="280"/>
      </w:pPr>
      <w:r>
        <w:rPr>
          <w:rFonts w:ascii="Century Gothic" w:cs="Century Gothic" w:eastAsia="Century Gothic" w:hAnsi="Century Gothic"/>
          <w:b/>
          <w:bCs/>
          <w:color w:val="1F2A36"/>
          <w:sz w:val="26"/>
          <w:szCs w:val="26"/>
        </w:rPr>
        <w:t xml:space="preserve">How the rubric scores it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86"/>
        <w:gridCol w:w="8894"/>
      </w:tblGrid>
      <w:tr>
        <w:trPr>
          <w:cantSplit/>
          <w:tblHeader/>
        </w:trPr>
        <w:tc>
          <w:tcPr>
            <w:tcW w:type="dxa" w:w="118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B5180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b/>
                <w:bCs/>
                <w:color w:val="FFFFFF"/>
                <w:sz w:val="19"/>
                <w:szCs w:val="19"/>
              </w:rPr>
              <w:t xml:space="preserve">Points</w:t>
            </w:r>
          </w:p>
        </w:tc>
        <w:tc>
          <w:tcPr>
            <w:tcW w:type="dxa" w:w="8894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B5180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b/>
                <w:bCs/>
                <w:color w:val="FFFFFF"/>
                <w:sz w:val="19"/>
                <w:szCs w:val="19"/>
              </w:rPr>
              <w:t xml:space="preserve">What the response does</w:t>
            </w:r>
          </w:p>
        </w:tc>
      </w:tr>
      <w:tr>
        <w:trPr>
          <w:cantSplit/>
          <w:tblHeader w:val="off"/>
        </w:trPr>
        <w:tc>
          <w:tcPr>
            <w:tcW w:type="dxa" w:w="118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F7F1E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0</w:t>
            </w:r>
          </w:p>
        </w:tc>
        <w:tc>
          <w:tcPr>
            <w:tcW w:type="dxa" w:w="8894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No EBI is identified, or there is no response</w:t>
            </w:r>
          </w:p>
        </w:tc>
      </w:tr>
      <w:tr>
        <w:trPr>
          <w:cantSplit/>
          <w:tblHeader w:val="off"/>
        </w:trPr>
        <w:tc>
          <w:tcPr>
            <w:tcW w:type="dxa" w:w="118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F7F1E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1</w:t>
            </w:r>
          </w:p>
        </w:tc>
        <w:tc>
          <w:tcPr>
            <w:tcW w:type="dxa" w:w="8894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EBI and ESSA level named; connects to one of domain, root cause, or Index target</w:t>
            </w:r>
          </w:p>
        </w:tc>
      </w:tr>
      <w:tr>
        <w:trPr>
          <w:cantSplit/>
          <w:tblHeader w:val="off"/>
        </w:trPr>
        <w:tc>
          <w:tcPr>
            <w:tcW w:type="dxa" w:w="118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F7F1E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2</w:t>
            </w:r>
          </w:p>
        </w:tc>
        <w:tc>
          <w:tcPr>
            <w:tcW w:type="dxa" w:w="8894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EBI and ESSA level named; connects to two of the three</w:t>
            </w:r>
          </w:p>
        </w:tc>
      </w:tr>
      <w:tr>
        <w:trPr>
          <w:cantSplit/>
          <w:tblHeader w:val="off"/>
        </w:trPr>
        <w:tc>
          <w:tcPr>
            <w:tcW w:type="dxa" w:w="118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F7F1E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3</w:t>
            </w:r>
          </w:p>
        </w:tc>
        <w:tc>
          <w:tcPr>
            <w:tcW w:type="dxa" w:w="8894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EBI and ESSA level named; connects to all three</w:t>
            </w:r>
          </w:p>
        </w:tc>
      </w:tr>
    </w:tbl>
    <w:p>
      <w:pPr>
        <w:spacing w:after="80"/>
      </w:pPr>
    </w:p>
    <w:p>
      <w:pPr>
        <w:keepNext w:val="false"/>
        <w:spacing w:after="100" w:before="0"/>
      </w:pP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Strong, moderate, and promising score the same. When you select several domains, estimate this item at your weakest block (planning assumption, register C-11).</w:t>
      </w:r>
    </w:p>
    <w:p>
      <w:pPr>
        <w:pStyle w:val="Heading1"/>
        <w:keepNext/>
        <w:spacing w:after="100" w:before="280"/>
      </w:pPr>
      <w:r>
        <w:rPr>
          <w:rFonts w:ascii="Century Gothic" w:cs="Century Gothic" w:eastAsia="Century Gothic" w:hAnsi="Century Gothic"/>
          <w:b/>
          <w:bCs/>
          <w:color w:val="1F2A36"/>
          <w:sz w:val="26"/>
          <w:szCs w:val="26"/>
        </w:rPr>
        <w:t xml:space="preserve">Draft for one domain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213"/>
        <w:gridCol w:w="1867"/>
      </w:tblGrid>
      <w:tr>
        <w:trPr>
          <w:cantSplit/>
          <w:tblHeader/>
        </w:trPr>
        <w:tc>
          <w:tcPr>
            <w:tcW w:type="dxa" w:w="8213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B5180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b/>
                <w:bCs/>
                <w:color w:val="FFFFFF"/>
                <w:sz w:val="19"/>
                <w:szCs w:val="19"/>
              </w:rPr>
              <w:t xml:space="preserve">Field</w:t>
            </w:r>
          </w:p>
        </w:tc>
        <w:tc>
          <w:tcPr>
            <w:tcW w:type="dxa" w:w="1867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B5180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b/>
                <w:bCs/>
                <w:color w:val="FFFFFF"/>
                <w:sz w:val="19"/>
                <w:szCs w:val="19"/>
              </w:rPr>
              <w:t xml:space="preserve">Your draft</w:t>
            </w:r>
          </w:p>
        </w:tc>
      </w:tr>
      <w:tr>
        <w:trPr>
          <w:cantSplit/>
          <w:tblHeader w:val="off"/>
        </w:trPr>
        <w:tc>
          <w:tcPr>
            <w:tcW w:type="dxa" w:w="8213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F7F1E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Domain</w:t>
            </w:r>
          </w:p>
        </w:tc>
        <w:tc>
          <w:tcPr>
            <w:tcW w:type="dxa" w:w="1867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  <w:tr>
        <w:trPr>
          <w:cantSplit/>
          <w:tblHeader w:val="off"/>
        </w:trPr>
        <w:tc>
          <w:tcPr>
            <w:tcW w:type="dxa" w:w="8213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F7F1E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EBI (name, menu ID, what changes)</w:t>
            </w:r>
          </w:p>
        </w:tc>
        <w:tc>
          <w:tcPr>
            <w:tcW w:type="dxa" w:w="1867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  <w:tr>
        <w:trPr>
          <w:cantSplit/>
          <w:tblHeader w:val="off"/>
        </w:trPr>
        <w:tc>
          <w:tcPr>
            <w:tcW w:type="dxa" w:w="8213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F7F1E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ESSA level (tier, outcome, study)</w:t>
            </w:r>
          </w:p>
        </w:tc>
        <w:tc>
          <w:tcPr>
            <w:tcW w:type="dxa" w:w="1867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  <w:tr>
        <w:trPr>
          <w:cantSplit/>
          <w:tblHeader w:val="off"/>
        </w:trPr>
        <w:tc>
          <w:tcPr>
            <w:tcW w:type="dxa" w:w="8213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F7F1E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Root cause (category and data)</w:t>
            </w:r>
          </w:p>
        </w:tc>
        <w:tc>
          <w:tcPr>
            <w:tcW w:type="dxa" w:w="1867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  <w:tr>
        <w:trPr>
          <w:cantSplit/>
          <w:tblHeader w:val="off"/>
        </w:trPr>
        <w:tc>
          <w:tcPr>
            <w:tcW w:type="dxa" w:w="8213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F7F1E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Index target (component; direct or indirect)</w:t>
            </w:r>
          </w:p>
        </w:tc>
        <w:tc>
          <w:tcPr>
            <w:tcW w:type="dxa" w:w="1867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  <w:tr>
        <w:trPr>
          <w:cantSplit/>
          <w:tblHeader w:val="off"/>
        </w:trPr>
        <w:tc>
          <w:tcPr>
            <w:tcW w:type="dxa" w:w="8213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F7F1E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Progress measures you will report</w:t>
            </w:r>
          </w:p>
        </w:tc>
        <w:tc>
          <w:tcPr>
            <w:tcW w:type="dxa" w:w="1867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</w:tbl>
    <w:p>
      <w:pPr>
        <w:spacing w:after="80"/>
      </w:pPr>
    </w:p>
    <w:p>
      <w:pPr>
        <w:pStyle w:val="Heading1"/>
        <w:keepNext/>
        <w:spacing w:after="100" w:before="280"/>
      </w:pPr>
      <w:r>
        <w:rPr>
          <w:rFonts w:ascii="Century Gothic" w:cs="Century Gothic" w:eastAsia="Century Gothic" w:hAnsi="Century Gothic"/>
          <w:b/>
          <w:bCs/>
          <w:color w:val="1F2A36"/>
          <w:sz w:val="26"/>
          <w:szCs w:val="26"/>
        </w:rPr>
        <w:t xml:space="preserve">Where this fits in the toolkit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T6 EBI worksheet, Step 3: builds the four fields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T4 Rubric Self-Check: scores your draft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T7 Progress Reporting Planner: sets up required indicators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T3 Partner Selection Guide: choose any provider separately, through your own competitive process</w:t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Century Gothic" w:cs="Century Gothic" w:eastAsia="Century Gothic" w:hAnsi="Century Gothic"/>
        <w:color w:val="6B7480"/>
        <w:sz w:val="14"/>
        <w:szCs w:val="14"/>
      </w:rPr>
      <w:t xml:space="preserve">Systems for Innovative Schools  ·  systemsforinnovativeschools.com  ·  Free to use and adapt for your school’s planning  ·  Page </w:t>
    </w:r>
    <w:r>
      <w:rPr>
        <w:rFonts w:ascii="Century Gothic" w:cs="Century Gothic" w:eastAsia="Century Gothic" w:hAnsi="Century Gothic"/>
        <w:color w:val="6B7480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51800" w:sz="6" w:space="4"/>
      </w:pBdr>
    </w:pPr>
    <w:r>
      <w:rPr>
        <w:rFonts w:ascii="Century Gothic" w:cs="Century Gothic" w:eastAsia="Century Gothic" w:hAnsi="Century Gothic"/>
        <w:b/>
        <w:bCs/>
        <w:color w:val="B51800"/>
        <w:sz w:val="16"/>
        <w:szCs w:val="16"/>
      </w:rPr>
      <w:t xml:space="preserve">Choosing an Evidence-Based Intervention That Fits</w:t>
    </w:r>
    <w:r>
      <w:rPr>
        <w:rFonts w:ascii="Century Gothic" w:cs="Century Gothic" w:eastAsia="Century Gothic" w:hAnsi="Century Gothic"/>
        <w:color w:val="6B7480"/>
        <w:sz w:val="16"/>
        <w:szCs w:val="16"/>
      </w:rPr>
      <w:t xml:space="preserve">   |   IPG Planning Toolkit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60"/>
      </w:pPr>
      <w:rPr>
        <w:color w:val="F2710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 Gothic" w:cs="Century Gothic" w:eastAsia="Century Gothic" w:hAnsi="Century Gothic"/>
        <w:color w:val="333B45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Module 6 handout: Writing the EBI choice into your plan</dc:title>
  <dc:creator>Systems for Innovative Schools</dc:creator>
  <cp:lastModifiedBy>Un-named</cp:lastModifiedBy>
  <cp:revision>1</cp:revision>
  <dcterms:created xsi:type="dcterms:W3CDTF">2026-10-26T16:43:48.995Z</dcterms:created>
  <dcterms:modified xsi:type="dcterms:W3CDTF">2026-10-26T16:43:48.995Z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