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entury Gothic" w:cs="Century Gothic" w:eastAsia="Century Gothic" w:hAnsi="Century Gothic"/>
          <w:b/>
          <w:bCs/>
          <w:color w:val="F27100"/>
          <w:spacing w:val="40"/>
          <w:sz w:val="18"/>
          <w:szCs w:val="18"/>
        </w:rPr>
        <w:t xml:space="preserve">MODULE 4 HANDOUT</w:t>
      </w:r>
    </w:p>
    <w:p>
      <w:pPr>
        <w:pStyle w:val="Title"/>
        <w:pBdr>
          <w:bottom w:val="single" w:color="F27100" w:sz="12" w:space="6"/>
        </w:pBdr>
        <w:spacing w:after="120"/>
      </w:pPr>
      <w:r>
        <w:rPr>
          <w:rFonts w:ascii="Century Gothic" w:cs="Century Gothic" w:eastAsia="Century Gothic" w:hAnsi="Century Gothic"/>
          <w:b/>
          <w:bCs/>
          <w:color w:val="B51800"/>
          <w:sz w:val="36"/>
          <w:szCs w:val="36"/>
        </w:rPr>
        <w:t xml:space="preserve">Starting from the need, not the program</w:t>
      </w:r>
    </w:p>
    <w:p>
      <w:pPr>
        <w:keepNext w:val="false"/>
        <w:spacing w:after="100" w:before="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Name the problem and its root cause before you choose an intervention. Then pick an EBI whose study moved an outcome your school is measured on.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Key ideas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The same symptom can have different root causes, and each root cause points to different menu rows.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The chain runs need, root cause, EBI, Index target. The rubric's 3-point level asks for all three connections: domain, needs assessment and root cause, and MI School Index target.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The chronic absenteeism rate (IPG indicator) should go down. On-Track Attendance (Index) should go up.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Mental health rows link to the Index only indirectly. Pair one with a row that has a direct Index target.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The shared root-cause categories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86"/>
        <w:gridCol w:w="8894"/>
      </w:tblGrid>
      <w:tr>
        <w:trPr>
          <w:cantSplit/>
          <w:tblHeader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Code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Category</w:t>
            </w:r>
          </w:p>
        </w:tc>
      </w:tr>
      <w:tr>
        <w:trPr>
          <w:cantSplit/>
          <w:tblHeader w:val="off"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RC1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Student engagement and belonging</w:t>
            </w:r>
          </w:p>
        </w:tc>
      </w:tr>
      <w:tr>
        <w:trPr>
          <w:cantSplit/>
          <w:tblHeader w:val="off"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RC2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Attendance barriers (health, transportation, work, family responsibilities)</w:t>
            </w:r>
          </w:p>
        </w:tc>
      </w:tr>
      <w:tr>
        <w:trPr>
          <w:cantSplit/>
          <w:tblHeader w:val="off"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RC3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Course access, credit accumulation, and recovery</w:t>
            </w:r>
          </w:p>
        </w:tc>
      </w:tr>
      <w:tr>
        <w:trPr>
          <w:cantSplit/>
          <w:tblHeader w:val="off"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RC4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Early identification and response (no system to flag and act on risk)</w:t>
            </w:r>
          </w:p>
        </w:tc>
      </w:tr>
      <w:tr>
        <w:trPr>
          <w:cantSplit/>
          <w:tblHeader w:val="off"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RC5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Tier 2 and Tier 3 intervention capacity</w:t>
            </w:r>
          </w:p>
        </w:tc>
      </w:tr>
      <w:tr>
        <w:trPr>
          <w:cantSplit/>
          <w:tblHeader w:val="off"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RC6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Mental health access and staffing</w:t>
            </w:r>
          </w:p>
        </w:tc>
      </w:tr>
      <w:tr>
        <w:trPr>
          <w:cantSplit/>
          <w:tblHeader w:val="off"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RC7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Behavior systems and discipline practices</w:t>
            </w:r>
          </w:p>
        </w:tc>
      </w:tr>
      <w:tr>
        <w:trPr>
          <w:cantSplit/>
          <w:tblHeader w:val="off"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RC8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Family and community partnership</w:t>
            </w:r>
          </w:p>
        </w:tc>
      </w:tr>
      <w:tr>
        <w:trPr>
          <w:cantSplit/>
          <w:tblHeader w:val="off"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RC9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Leadership capacity, stability, and team routines</w:t>
            </w:r>
          </w:p>
        </w:tc>
      </w:tr>
      <w:tr>
        <w:trPr>
          <w:cantSplit/>
          <w:tblHeader w:val="off"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RC10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Instructional quality and teacher collaboration</w:t>
            </w:r>
          </w:p>
        </w:tc>
      </w:tr>
      <w:tr>
        <w:trPr>
          <w:cantSplit/>
          <w:tblHeader w:val="off"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RC11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Time, schedule, and school structures</w:t>
            </w:r>
          </w:p>
        </w:tc>
      </w:tr>
      <w:tr>
        <w:trPr>
          <w:cantSplit/>
          <w:tblHeader w:val="off"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RC12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Relevance: postsecondary and career pathways</w:t>
            </w:r>
          </w:p>
        </w:tc>
      </w:tr>
    </w:tbl>
    <w:p>
      <w:pPr>
        <w:spacing w:after="80"/>
      </w:pP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Your need statement</w:t>
      </w:r>
    </w:p>
    <w:p>
      <w:pPr>
        <w:keepNext w:val="false"/>
        <w:spacing w:after="100" w:before="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In [grade or student group], [measure] is [value] (source, year). The main root cause is [RC code and name], shown by [data]. We will move [Index target or IPG indicator] from [now] to [goal] by [year].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74"/>
        <w:gridCol w:w="3006"/>
      </w:tblGrid>
      <w:tr>
        <w:trPr>
          <w:cantSplit/>
          <w:tblHeader/>
        </w:trPr>
        <w:tc>
          <w:tcPr>
            <w:tcW w:type="dxa" w:w="707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Part</w:t>
            </w:r>
          </w:p>
        </w:tc>
        <w:tc>
          <w:tcPr>
            <w:tcW w:type="dxa" w:w="300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Your team's entry</w:t>
            </w:r>
          </w:p>
        </w:tc>
      </w:tr>
      <w:tr>
        <w:trPr>
          <w:cantSplit/>
          <w:tblHeader w:val="off"/>
        </w:trPr>
        <w:tc>
          <w:tcPr>
            <w:tcW w:type="dxa" w:w="707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Grade or student group</w:t>
            </w:r>
          </w:p>
        </w:tc>
        <w:tc>
          <w:tcPr>
            <w:tcW w:type="dxa" w:w="300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</w:trPr>
        <w:tc>
          <w:tcPr>
            <w:tcW w:type="dxa" w:w="707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Measure and current value (source, year)</w:t>
            </w:r>
          </w:p>
        </w:tc>
        <w:tc>
          <w:tcPr>
            <w:tcW w:type="dxa" w:w="300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</w:trPr>
        <w:tc>
          <w:tcPr>
            <w:tcW w:type="dxa" w:w="707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Root-cause code and name</w:t>
            </w:r>
          </w:p>
        </w:tc>
        <w:tc>
          <w:tcPr>
            <w:tcW w:type="dxa" w:w="300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</w:trPr>
        <w:tc>
          <w:tcPr>
            <w:tcW w:type="dxa" w:w="707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Data that shows this root cause</w:t>
            </w:r>
          </w:p>
        </w:tc>
        <w:tc>
          <w:tcPr>
            <w:tcW w:type="dxa" w:w="300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</w:trPr>
        <w:tc>
          <w:tcPr>
            <w:tcW w:type="dxa" w:w="707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Index target or IPG indicator</w:t>
            </w:r>
          </w:p>
        </w:tc>
        <w:tc>
          <w:tcPr>
            <w:tcW w:type="dxa" w:w="300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</w:trPr>
        <w:tc>
          <w:tcPr>
            <w:tcW w:type="dxa" w:w="707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Goal, direction, and year</w:t>
            </w:r>
          </w:p>
        </w:tc>
        <w:tc>
          <w:tcPr>
            <w:tcW w:type="dxa" w:w="300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</w:tbl>
    <w:p>
      <w:pPr>
        <w:spacing w:after="80"/>
      </w:pP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Worked example (composite school)</w:t>
      </w:r>
    </w:p>
    <w:p>
      <w:pPr>
        <w:keepNext w:val="false"/>
        <w:spacing w:after="100" w:before="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Need: grade 9 chronic absenteeism is well above the other grades and starts in the first semester.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45"/>
        <w:gridCol w:w="6235"/>
      </w:tblGrid>
      <w:tr>
        <w:trPr>
          <w:cantSplit/>
          <w:tblHeader/>
        </w:trPr>
        <w:tc>
          <w:tcPr>
            <w:tcW w:type="dxa" w:w="384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Root cause</w:t>
            </w:r>
          </w:p>
        </w:tc>
        <w:tc>
          <w:tcPr>
            <w:tcW w:type="dxa" w:w="623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Menu rows with a direct attendance link (Tier to claim)</w:t>
            </w:r>
          </w:p>
        </w:tc>
      </w:tr>
      <w:tr>
        <w:trPr>
          <w:cantSplit/>
          <w:tblHeader w:val="off"/>
        </w:trPr>
        <w:tc>
          <w:tcPr>
            <w:tcW w:type="dxa" w:w="384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RC2 Attendance barriers</w:t>
            </w:r>
          </w:p>
        </w:tc>
        <w:tc>
          <w:tcPr>
            <w:tcW w:type="dxa" w:w="623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BAR-07 School breakfast after the bell (Tier 1, K-12 pooled); ATT-06 School-based health centers (Tier 3); BAR-10 Community schools strategy (Tier 3); BAR-15 Paid summer youth employment (Tier 3)</w:t>
            </w:r>
          </w:p>
        </w:tc>
      </w:tr>
      <w:tr>
        <w:trPr>
          <w:cantSplit/>
          <w:tblHeader w:val="off"/>
        </w:trPr>
        <w:tc>
          <w:tcPr>
            <w:tcW w:type="dxa" w:w="384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RC4 Early identification and response</w:t>
            </w:r>
          </w:p>
        </w:tc>
        <w:tc>
          <w:tcPr>
            <w:tcW w:type="dxa" w:w="623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ATT-03 Personalized mailed absence notices (Tier 1, grades 1-12 pooled); ATT-02 Early warning and intervention system (Tier 2); ATT-01 BARR (Tier 3 for chronic absence; Tier 1 for grade 9 credits)</w:t>
            </w:r>
          </w:p>
        </w:tc>
      </w:tr>
    </w:tbl>
    <w:p>
      <w:pPr>
        <w:spacing w:after="80"/>
      </w:pP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Where this fits in the toolkit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T5 Root Cause Analysis Worksheet: confirm your root-cause code with data.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T2 Domain Decision Guide: check which domain your need belongs 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T6 EBI Worksheet, Step 1: filter the menu by your root-cause code.</w:t>
      </w:r>
    </w:p>
    <w:p>
      <w:pPr>
        <w:keepNext w:val="false"/>
        <w:spacing w:after="100" w:before="200"/>
      </w:pPr>
      <w:r>
        <w:rPr>
          <w:rFonts w:ascii="Century Gothic" w:cs="Century Gothic" w:eastAsia="Century Gothic" w:hAnsi="Century Gothic"/>
          <w:color w:val="6B7480"/>
          <w:sz w:val="16"/>
          <w:szCs w:val="16"/>
        </w:rPr>
        <w:t xml:space="preserve">Sources: SYS IPG EBI Menu FINAL (Root-cause key, Read me, EBI Menu); IPG Rubric; MI School Index System Guide, p. 10.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entury Gothic" w:cs="Century Gothic" w:eastAsia="Century Gothic" w:hAnsi="Century Gothic"/>
        <w:color w:val="6B7480"/>
        <w:sz w:val="14"/>
        <w:szCs w:val="14"/>
      </w:rPr>
      <w:t xml:space="preserve">Systems for Innovative Schools  ·  systemsforinnovativeschools.com  ·  Free to use and adapt for your school’s planning  ·  Page </w:t>
    </w:r>
    <w:r>
      <w:rPr>
        <w:rFonts w:ascii="Century Gothic" w:cs="Century Gothic" w:eastAsia="Century Gothic" w:hAnsi="Century Gothic"/>
        <w:color w:val="6B7480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51800" w:sz="6" w:space="4"/>
      </w:pBdr>
    </w:pPr>
    <w:r>
      <w:rPr>
        <w:rFonts w:ascii="Century Gothic" w:cs="Century Gothic" w:eastAsia="Century Gothic" w:hAnsi="Century Gothic"/>
        <w:b/>
        <w:bCs/>
        <w:color w:val="B51800"/>
        <w:sz w:val="16"/>
        <w:szCs w:val="16"/>
      </w:rPr>
      <w:t xml:space="preserve">Choosing an Evidence-Based Intervention That Fits</w:t>
    </w:r>
    <w:r>
      <w:rPr>
        <w:rFonts w:ascii="Century Gothic" w:cs="Century Gothic" w:eastAsia="Century Gothic" w:hAnsi="Century Gothic"/>
        <w:color w:val="6B7480"/>
        <w:sz w:val="16"/>
        <w:szCs w:val="16"/>
      </w:rPr>
      <w:t xml:space="preserve">   |   IPG Planning Toolkit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  <w:rPr>
        <w:color w:val="F271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cs="Century Gothic" w:eastAsia="Century Gothic" w:hAnsi="Century Gothic"/>
        <w:color w:val="333B45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Module 4 handout: Starting from the need, not the program</dc:title>
  <dc:creator>Systems for Innovative Schools</dc:creator>
  <cp:lastModifiedBy>Un-named</cp:lastModifiedBy>
  <cp:revision>1</cp:revision>
  <dcterms:created xsi:type="dcterms:W3CDTF">2026-10-26T16:43:48.894Z</dcterms:created>
  <dcterms:modified xsi:type="dcterms:W3CDTF">2026-10-26T16:43:48.894Z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